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31"/>
        <w:ind w:left="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Zapytanie w sprawie wykonanie „Opracowanie Analizy Techniczno-Ekonomicznej i Programu Funkcjonalno-Użytkowego dla inwestycji pn. „Budowa źródła produkcji energii elektrycznej i cieplnej w wysokosprawnej kogeneracji”</w:t>
      </w:r>
    </w:p>
    <w:p>
      <w:pPr>
        <w:pStyle w:val="Nagwek1"/>
        <w:spacing w:before="240" w:after="0"/>
        <w:rPr>
          <w:rFonts w:ascii="Calibri Light" w:hAnsi="Calibri Light" w:cs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</w:pPr>
      <w:r>
        <w:rPr>
          <w:rFonts w:cs="Calibri Light" w:cstheme="majorHAnsi" w:ascii="Calibri Light" w:hAnsi="Calibri Light"/>
          <w:caps w:val="false"/>
          <w:smallCaps w:val="false"/>
          <w:color w:val="00000A"/>
          <w:sz w:val="24"/>
          <w:szCs w:val="24"/>
          <w:u w:val="single"/>
        </w:rPr>
      </w:r>
    </w:p>
    <w:p>
      <w:pPr>
        <w:pStyle w:val="Nagwek1"/>
        <w:spacing w:before="240" w:after="0"/>
        <w:rPr>
          <w:rFonts w:ascii="Calibri Light" w:hAnsi="Calibri Light" w:cs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  <w:t>Założenia dotyczące opracowany dokumenty: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 etap: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>Analiza Techniczno – Ekonomiczna (Audyt eneretyczny)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mallCaps/>
          <w:sz w:val="24"/>
          <w:szCs w:val="24"/>
          <w:u w:val="single"/>
        </w:rPr>
      </w:pPr>
      <w:r>
        <w:rPr>
          <w:rFonts w:cs="Calibri Light" w:cstheme="majorHAnsi" w:ascii="Calibri Light" w:hAnsi="Calibri Light"/>
          <w:smallCaps/>
          <w:sz w:val="24"/>
          <w:szCs w:val="24"/>
          <w:u w:val="single"/>
        </w:rPr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mallCaps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>Zakres Analizy Techniczno – Ekonomicznej (Audytu eneretycznego)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Audyt energetyczny przedsiębiorstwa ma obejmować całą gospodarkę energetyczną obiektu (bilans nośników), ze szczególnym ukierunkowaniem na modernizację gospodarki energetycznej kompleksu, polegającą na budowie gazowego źródła kogeneracyjnego z wykonaniem szczegółowych pomiarów, obliczeń i analiz, które będą stanowić podstawę do całości oceny zużycia energii (energia elektryczna, ciepło, chłód) w obiektach audytowanego Kompleksu Basenowego, w celu zaplanowania potencjalnych działań.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Wymagany zakres audytu:</w:t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Inwentaryzacja infrastruktury technicznej (informacje w formie opisów)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Identyfikacja struktury technicznej systemów zasilania w energię elektryczną poszczególnych obiektów.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Identyfikacja struktury technicznej systemów zasilania w gaz ziemny poszczególnych obiektów.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Identyfikacja struktury technicznej – kotłownie.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Identyfikacja struktury technicznej w zakresie systemów wentylacji i klimatyzacji obiektów.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Identyfikacja struktury technicznej urządzeń,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Opis infrastruktury budowlanej.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Opis stosowanych procesów technologicznych basenu.</w:t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Analiza zużycia energii elektrycznej w latach 2016 – 2018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Analiza danych o zużyciu energii elektrycznej.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Analiza kosztów ponoszonych w związku z użytkowaniem energii elektrycznej.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Ocena emisji gazów cieplarnianych występująca w związku z użytkowaniem energii elektrycznej.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Identyfikacja największych odbiorników energii elektrycznej w obiekcie</w:t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Analiza zużycia ciepła sieciowego w latach 2016 – 2018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Analiza danych o zużyciu ciepła.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Analiza kosztów ponoszonych w związku z użytkowaniem ciepła.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Ocena emisji gazów cieplarnianych występująca w związku z użytkowaniem ciepła.</w:t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Bilans energetyczny przedsiębiorstwa</w:t>
      </w:r>
    </w:p>
    <w:p>
      <w:pPr>
        <w:pStyle w:val="Normal"/>
        <w:keepLines/>
        <w:spacing w:lineRule="auto" w:line="264"/>
        <w:ind w:left="426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Wyznaczenie bilansu energetycznego przedsiębiorstwa w rozbiciu na poszczególne grupy odbioru energii oraz wg stosowanych nośników energii.</w:t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Dodatkowe badania, pomiary:</w:t>
      </w:r>
    </w:p>
    <w:p>
      <w:pPr>
        <w:pStyle w:val="Normal"/>
        <w:keepLines/>
        <w:spacing w:lineRule="auto" w:line="264"/>
        <w:ind w:left="426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 przypadku braku możliwości uzyskania informacji o zużyciu energii należy wykonać: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pomiary prądowe dla wybranych obwodów elektrycznych, ciągów technologicznych lub dla wybranych urządzeń - pomiary elektryczne z rejestracją danych dla identyfikacji zużycia i przebiegów mocy pobieranej przez poszczególne obiekty lub kluczowe odbiorniki oraz pomiary wskazanego zespołu urządzeń z wykorzystaniem rejestratorów oraz analizatorów mocy z przystawkami cęgowymi, pomiaru przepływu ciepła, temperatury,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pomiary przepływu ciepła dla wybranych obiegów cieplnych - pomiary przepływu prowadzone metodą ultradźwiękową (lub inne bezinwazyjne) z rejestracją danych dla identyfikacji zużycia i przebiegów mocy cieplnej pobieranej przez poszczególne obiegi z wykorzystaniem rejestratorów ultradźwiękowych (tzw. „clamp on”) oraz rejestratorów temperatury.</w:t>
      </w:r>
    </w:p>
    <w:p>
      <w:pPr>
        <w:pStyle w:val="Normal"/>
        <w:keepLines/>
        <w:spacing w:lineRule="auto" w:line="264"/>
        <w:ind w:left="426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cstheme="majorHAnsi" w:ascii="Calibri Light" w:hAnsi="Calibri Light"/>
          <w:sz w:val="24"/>
          <w:szCs w:val="24"/>
          <w:lang w:val="pl-PL"/>
        </w:rPr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Ocena w zakresie potencjału oszczędności dla następujących analizowanych obszarów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Źródła ciepła, sieci ciepłownicze i systemy ogrzewania, wentylacji i klimatyzacji,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Obiekty budowlane,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88"/>
        <w:ind w:left="709" w:hanging="360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  <w:t>Kogeneracja</w:t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Rekomendacje dla Inwestora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Wskazanie propozycji przedsięwzięć modernizacyjnych poprawiających efektywność energetyczną Przedsiębiorstwa z określeniem efektów energetycznych, ekologicznych, oszacowaniem wstępnym kosztów inwestycyjnych, analizą ekonomiczną z wykorzystaniem metodologii oceny inwestycji w kosztach cyklu życia. Analiza wrażliwości inwestycji.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color w:val="000000"/>
          <w:spacing w:val="3"/>
          <w:sz w:val="24"/>
          <w:szCs w:val="24"/>
          <w:lang w:val="pl-PL"/>
        </w:rPr>
      </w:pPr>
      <w:r>
        <w:rPr>
          <w:rFonts w:cs="Calibri Light" w:cstheme="majorHAnsi" w:ascii="Calibri Light" w:hAnsi="Calibri Light"/>
          <w:color w:val="000000"/>
          <w:spacing w:val="3"/>
          <w:sz w:val="24"/>
          <w:szCs w:val="24"/>
          <w:lang w:val="pl-PL"/>
        </w:rPr>
      </w:r>
    </w:p>
    <w:p>
      <w:pPr>
        <w:pStyle w:val="Nagwek1"/>
        <w:numPr>
          <w:ilvl w:val="0"/>
          <w:numId w:val="2"/>
        </w:numPr>
        <w:spacing w:lineRule="auto" w:line="240" w:before="80" w:after="80"/>
        <w:ind w:left="425" w:hanging="425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Oszacowanie obniżenia emisji gazów cieplarnianych w wyniku realizacji projektu.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Wyznaczenie wskaźników niezbędnych do złożenia wniosku w ramach konkursu RPOWSl nr: RPSL.04.04.00-IŻ.01-24-295/18 w ramach Osi Priorytetowej IV efektywność energetyczna, odnawialne źródła energii i gospodarka niskoemisyjna, działanie 4.4. Wysokosprawna kogeneracja – wskaźniki produktu oraz wskaźniki rezultatu.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cstheme="majorHAnsi" w:ascii="Calibri Light" w:hAnsi="Calibri Light"/>
          <w:sz w:val="24"/>
          <w:szCs w:val="24"/>
          <w:lang w:val="pl-PL"/>
        </w:rPr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II etap Program Funkconalno Użytkowy</w:t>
      </w:r>
    </w:p>
    <w:p>
      <w:pPr>
        <w:pStyle w:val="Nagwek1"/>
        <w:spacing w:lineRule="auto" w:line="240" w:before="80" w:after="80"/>
        <w:rPr>
          <w:rFonts w:ascii="Calibri Light" w:hAnsi="Calibri Light" w:cs="Calibri Light" w:asciiTheme="majorHAnsi" w:cstheme="majorHAnsi" w:hAnsiTheme="majorHAnsi"/>
          <w:b w:val="false"/>
          <w:b w:val="false"/>
          <w:caps w:val="false"/>
          <w:smallCaps w:val="false"/>
          <w:color w:val="00000A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 w:val="false"/>
          <w:caps w:val="false"/>
          <w:smallCaps w:val="false"/>
          <w:color w:val="00000A"/>
          <w:sz w:val="24"/>
          <w:szCs w:val="24"/>
        </w:rPr>
        <w:t>Opracowanie Programu funkcjonalno - użytkowego.</w:t>
      </w:r>
    </w:p>
    <w:p>
      <w:pPr>
        <w:pStyle w:val="Normal"/>
        <w:rPr>
          <w:highlight w:val="yellow"/>
          <w:lang w:val="pl-PL"/>
        </w:rPr>
      </w:pPr>
      <w:r>
        <w:rPr>
          <w:highlight w:val="yellow"/>
          <w:lang w:val="pl-PL"/>
        </w:rPr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 ramach zadania w drugim etapie należy wykonać Program Funkcjonalno Użytkowy opracowany zgodnie z Rozporządzeniem Ministra Infrastruktury z dnia 2 września 2004 r. w sprawie szczegółowego zakresu i formy dokumentacji projektowej, specyfikacji technicznych wykonania i odbioru robót budowlanych oraz programu funkcjonalno-użytkowego.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cstheme="majorHAnsi" w:ascii="Calibri Light" w:hAnsi="Calibri Light"/>
          <w:sz w:val="24"/>
          <w:szCs w:val="24"/>
          <w:lang w:val="pl-PL"/>
        </w:rPr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>Wykonany Program Funkcjonalno-Użytkowy musi zawierać informacje dotyczące wszystkich branż, które są niezbędne do kompleksowego wykonania zadania w szczególności architektoniczną, elektryczną, sanitarną, gazową.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cstheme="majorHAnsi" w:ascii="Calibri Light" w:hAnsi="Calibri Light"/>
          <w:sz w:val="24"/>
          <w:szCs w:val="24"/>
          <w:lang w:val="pl-PL"/>
        </w:rPr>
      </w:r>
    </w:p>
    <w:p>
      <w:pPr>
        <w:pStyle w:val="Normal"/>
        <w:shd w:val="clear" w:color="auto" w:fill="FFFFFF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lang w:val="pl-PL"/>
        </w:rPr>
        <w:t xml:space="preserve">Zarówno Analiza Techniczno-Ekonomiczna (Audyt energetyczny) jak i Program Funkcjonalno-Użytkowy powinny korespondować z wymaganiami postawionymi w ramach konkursu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nr 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RPSL.04.04.00-IZ.01-24-295/18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  Oś Priorytetowa IV Efektywność energetyczna, odnawialne źródła energii i gospodarka niskoemisyjna, Działania 4.4 Wysokosprawna kogeneracja RPO WSL 2014-2020.</w:t>
      </w:r>
    </w:p>
    <w:p>
      <w:pPr>
        <w:pStyle w:val="Normal"/>
        <w:keepLines/>
        <w:spacing w:lineRule="auto" w:line="264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  <w:lang w:val="pl-PL"/>
        </w:rPr>
      </w:pPr>
      <w:bookmarkStart w:id="0" w:name="_GoBack"/>
      <w:bookmarkStart w:id="1" w:name="_GoBack"/>
      <w:bookmarkEnd w:id="1"/>
      <w:r>
        <w:rPr>
          <w:rFonts w:cs="Calibri Light" w:cstheme="majorHAnsi" w:ascii="Calibri Light" w:hAnsi="Calibri Light"/>
          <w:sz w:val="24"/>
          <w:szCs w:val="24"/>
          <w:lang w:val="pl-PL"/>
        </w:rPr>
      </w:r>
    </w:p>
    <w:p>
      <w:pPr>
        <w:pStyle w:val="Nagwek1"/>
        <w:spacing w:before="240" w:after="0"/>
        <w:rPr>
          <w:rFonts w:ascii="Calibri Light" w:hAnsi="Calibri Light" w:cs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  <w:t>Wynagrodzenie za wykonanie zadania</w:t>
      </w:r>
    </w:p>
    <w:p>
      <w:pPr>
        <w:pStyle w:val="Normal"/>
        <w:rPr>
          <w:lang w:val="pl-PL"/>
        </w:rPr>
      </w:pPr>
      <w:r>
        <w:rPr>
          <w:lang w:val="pl-PL"/>
        </w:rPr>
        <w:t>Za wykonanie I etapu – do 60% oferowanej kwoty</w:t>
      </w:r>
    </w:p>
    <w:p>
      <w:pPr>
        <w:pStyle w:val="Normal"/>
        <w:rPr>
          <w:lang w:val="pl-PL"/>
        </w:rPr>
      </w:pPr>
      <w:r>
        <w:rPr>
          <w:lang w:val="pl-PL"/>
        </w:rPr>
        <w:t>Za wykonanie II etapu – pozostała część oferowanej kwoty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agwek1"/>
        <w:spacing w:before="240" w:after="0"/>
        <w:rPr>
          <w:rFonts w:ascii="Calibri Light" w:hAnsi="Calibri Light" w:cs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caps w:val="false"/>
          <w:smallCaps w:val="false"/>
          <w:color w:val="00000A"/>
          <w:sz w:val="24"/>
          <w:szCs w:val="24"/>
          <w:u w:val="single"/>
        </w:rPr>
        <w:t>Termin wykonania</w:t>
      </w:r>
    </w:p>
    <w:p>
      <w:pPr>
        <w:pStyle w:val="Normal"/>
        <w:rPr>
          <w:lang w:val="pl-PL"/>
        </w:rPr>
      </w:pPr>
      <w:r>
        <w:rPr>
          <w:lang w:val="pl-PL"/>
        </w:rPr>
        <w:t>I Etap Maksymalnie 5 tygodni nie później niż do 15.03.2019</w:t>
      </w:r>
    </w:p>
    <w:p>
      <w:pPr>
        <w:pStyle w:val="Normal"/>
        <w:rPr>
          <w:lang w:val="pl-PL"/>
        </w:rPr>
      </w:pPr>
      <w:r>
        <w:rPr>
          <w:lang w:val="pl-PL"/>
        </w:rPr>
        <w:t>II Etap nie później niż do 22.03.2019</w:t>
      </w:r>
    </w:p>
    <w:p>
      <w:pPr>
        <w:pStyle w:val="Normal"/>
        <w:rPr>
          <w:rFonts w:ascii="Calibri Light" w:hAnsi="Calibri Light" w:eastAsia="" w:cs="Calibri Light" w:asciiTheme="majorHAnsi" w:cstheme="majorHAnsi" w:eastAsiaTheme="majorEastAsia" w:hAnsiTheme="majorHAnsi"/>
          <w:b/>
          <w:b/>
          <w:bCs/>
          <w:sz w:val="24"/>
          <w:szCs w:val="24"/>
          <w:u w:val="single"/>
          <w:lang w:val="pl-PL"/>
        </w:rPr>
      </w:pPr>
      <w:r>
        <w:rPr>
          <w:rFonts w:eastAsia="" w:cs="Calibri Light" w:cstheme="majorHAnsi" w:eastAsiaTheme="majorEastAsia" w:ascii="Calibri Light" w:hAnsi="Calibri Light"/>
          <w:b/>
          <w:bCs/>
          <w:sz w:val="24"/>
          <w:szCs w:val="24"/>
          <w:u w:val="single"/>
          <w:lang w:val="pl-PL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ajorEastAsia" w:hAnsiTheme="majorHAnsi"/>
          <w:b/>
          <w:b/>
          <w:bCs/>
          <w:sz w:val="24"/>
          <w:szCs w:val="24"/>
          <w:u w:val="single"/>
          <w:lang w:val="pl-PL"/>
        </w:rPr>
      </w:pPr>
      <w:r>
        <w:rPr>
          <w:rFonts w:eastAsia="" w:cs="Calibri Light" w:ascii="Calibri Light" w:hAnsi="Calibri Light" w:asciiTheme="majorHAnsi" w:cstheme="majorHAnsi" w:eastAsiaTheme="majorEastAsia" w:hAnsiTheme="majorHAnsi"/>
          <w:b/>
          <w:bCs/>
          <w:sz w:val="24"/>
          <w:szCs w:val="24"/>
          <w:u w:val="single"/>
          <w:lang w:val="pl-PL"/>
        </w:rPr>
        <w:t>Wymagania w stosunku do oferentów:</w:t>
      </w:r>
    </w:p>
    <w:p>
      <w:pPr>
        <w:pStyle w:val="Normal"/>
        <w:rPr>
          <w:lang w:val="pl-PL"/>
        </w:rPr>
      </w:pPr>
      <w:r>
        <w:rPr>
          <w:lang w:val="pl-PL"/>
        </w:rPr>
        <w:t>Przygotowanie co najmniej jednej Analizy Techniczno-Ekonomicznej (Audytu energetycznego ) oraz Programu Funkcjonalno-Użytkowego w zakresie budowy gazowego źródła kogeneracyjnego.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ajorEastAsia" w:hAnsiTheme="majorHAnsi"/>
          <w:b/>
          <w:b/>
          <w:bCs/>
          <w:sz w:val="24"/>
          <w:szCs w:val="24"/>
          <w:u w:val="single"/>
          <w:lang w:val="pl-PL"/>
        </w:rPr>
      </w:pPr>
      <w:r>
        <w:rPr>
          <w:rFonts w:eastAsia="" w:cs="Calibri Light" w:ascii="Calibri Light" w:hAnsi="Calibri Light" w:asciiTheme="majorHAnsi" w:cstheme="majorHAnsi" w:eastAsiaTheme="majorEastAsia" w:hAnsiTheme="majorHAnsi"/>
          <w:b/>
          <w:bCs/>
          <w:sz w:val="24"/>
          <w:szCs w:val="24"/>
          <w:u w:val="single"/>
          <w:lang w:val="pl-PL"/>
        </w:rPr>
        <w:t>Termin złożenia oferty</w:t>
      </w:r>
    </w:p>
    <w:p>
      <w:pPr>
        <w:pStyle w:val="Normal"/>
        <w:rPr/>
      </w:pPr>
      <w:r>
        <w:rPr>
          <w:lang w:val="pl-PL"/>
        </w:rPr>
        <w:t xml:space="preserve">Oferty należy złożyć w sekretariacie spółki – Hala Sportowa w Tarnowskich Górach, ul. Obwodnica 8, Tarnowskie Góry bądź przesłać na adres poczty elektronicznej </w:t>
      </w:r>
      <w:hyperlink r:id="rId2">
        <w:r>
          <w:rPr>
            <w:rStyle w:val="Czeinternetowe"/>
            <w:lang w:val="pl-PL"/>
          </w:rPr>
          <w:t>sekretariat@parkwodny.com.pl</w:t>
        </w:r>
      </w:hyperlink>
    </w:p>
    <w:p>
      <w:pPr>
        <w:pStyle w:val="Normal"/>
        <w:rPr>
          <w:lang w:val="pl-PL"/>
        </w:rPr>
      </w:pPr>
      <w:r>
        <w:rPr>
          <w:lang w:val="pl-PL"/>
        </w:rPr>
        <w:t>Termin złożenia oferty: 1 lutego 2019, godz. 12.00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Calibri Light" w:hAnsi="Calibri Light" w:eastAsia="" w:cs="Calibri Light" w:asciiTheme="majorHAnsi" w:cstheme="majorHAnsi" w:eastAsiaTheme="majorEastAsia" w:hAnsiTheme="majorHAnsi"/>
          <w:b/>
          <w:b/>
          <w:bCs/>
          <w:sz w:val="24"/>
          <w:szCs w:val="24"/>
          <w:u w:val="single"/>
          <w:lang w:val="pl-PL"/>
        </w:rPr>
      </w:pPr>
      <w:r>
        <w:rPr>
          <w:rFonts w:eastAsia="" w:cs="Calibri Light" w:ascii="Calibri Light" w:hAnsi="Calibri Light" w:asciiTheme="majorHAnsi" w:cstheme="majorHAnsi" w:eastAsiaTheme="majorEastAsia" w:hAnsiTheme="majorHAnsi"/>
          <w:b/>
          <w:bCs/>
          <w:sz w:val="24"/>
          <w:szCs w:val="24"/>
          <w:u w:val="single"/>
          <w:lang w:val="pl-PL"/>
        </w:rPr>
        <w:t>Kryteria Wyboru</w:t>
      </w:r>
    </w:p>
    <w:p>
      <w:pPr>
        <w:pStyle w:val="Normal"/>
        <w:rPr/>
      </w:pPr>
      <w:r>
        <w:rPr>
          <w:lang w:val="pl-PL"/>
        </w:rPr>
        <w:t>Cena - 100%</w:t>
      </w:r>
    </w:p>
    <w:sectPr>
      <w:footerReference w:type="default" r:id="rId3"/>
      <w:type w:val="nextPage"/>
      <w:pgSz w:w="11906" w:h="16838"/>
      <w:pgMar w:left="1247" w:right="1247" w:header="0" w:top="1361" w:footer="624" w:bottom="136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yriad Pro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45956123"/>
    </w:sdtPr>
    <w:sdtContent>
      <w:p>
        <w:pPr>
          <w:pStyle w:val="Stopka"/>
          <w:jc w:val="center"/>
          <w:rPr/>
        </w:pPr>
        <w:r>
          <w:rPr>
            <w:rFonts w:cs="Tahoma" w:ascii="Tahoma" w:hAnsi="Tahoma"/>
            <w:sz w:val="16"/>
            <w:szCs w:val="16"/>
            <w:lang w:val="pl-PL"/>
          </w:rPr>
          <w:t xml:space="preserve">Strona </w:t>
        </w:r>
        <w:r>
          <w:rPr>
            <w:rFonts w:cs="Tahoma" w:ascii="Tahoma" w:hAnsi="Tahoma"/>
            <w:b/>
            <w:bCs/>
            <w:sz w:val="16"/>
            <w:szCs w:val="16"/>
            <w:lang w:val="pl-PL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rFonts w:cs="Tahoma" w:ascii="Tahoma" w:hAnsi="Tahoma"/>
            <w:sz w:val="16"/>
            <w:szCs w:val="16"/>
            <w:lang w:val="pl-PL"/>
          </w:rPr>
          <w:t xml:space="preserve"> z </w:t>
        </w:r>
        <w:r>
          <w:rPr>
            <w:rFonts w:cs="Tahoma" w:ascii="Tahoma" w:hAnsi="Tahoma"/>
            <w:b/>
            <w:bCs/>
            <w:sz w:val="16"/>
            <w:szCs w:val="16"/>
            <w:lang w:val="pl-PL"/>
          </w:rPr>
          <w:fldChar w:fldCharType="begin"/>
        </w:r>
        <w:r>
          <w:instrText> NUMPAGES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2355" w:hanging="708"/>
      </w:pPr>
      <w:rPr>
        <w:rFonts w:ascii="Calibri" w:hAnsi="Calibri" w:cs="Calibri" w:hint="default"/>
        <w:rFonts w:cs="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653f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7653fc"/>
    <w:pPr>
      <w:keepNext/>
      <w:keepLines/>
      <w:spacing w:lineRule="auto" w:line="276" w:before="480" w:after="120"/>
      <w:outlineLvl w:val="0"/>
    </w:pPr>
    <w:rPr>
      <w:rFonts w:ascii="Myriad Pro" w:hAnsi="Myriad Pro" w:eastAsia="" w:cs="" w:cstheme="majorBidi" w:eastAsiaTheme="majorEastAsia"/>
      <w:b/>
      <w:bCs/>
      <w:smallCaps/>
      <w:color w:val="FF6600"/>
      <w:sz w:val="32"/>
      <w:szCs w:val="28"/>
      <w:lang w:val="pl-PL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f20fcd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7653fc"/>
    <w:rPr>
      <w:rFonts w:ascii="Myriad Pro" w:hAnsi="Myriad Pro" w:eastAsia="" w:cs="" w:cstheme="majorBidi" w:eastAsiaTheme="majorEastAsia"/>
      <w:b/>
      <w:bCs/>
      <w:smallCaps/>
      <w:color w:val="FF6600"/>
      <w:sz w:val="32"/>
      <w:szCs w:val="2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653fc"/>
    <w:rPr>
      <w:lang w:val="en-US"/>
    </w:rPr>
  </w:style>
  <w:style w:type="character" w:styleId="Czeinternetowe">
    <w:name w:val="Łącze internetowe"/>
    <w:basedOn w:val="DefaultParagraphFont"/>
    <w:uiPriority w:val="99"/>
    <w:unhideWhenUsed/>
    <w:rsid w:val="00732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2ee3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f20fc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f20fcd"/>
    <w:rPr>
      <w:b/>
      <w:bCs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opka">
    <w:name w:val="Footer"/>
    <w:basedOn w:val="Normal"/>
    <w:link w:val="StopkaZnak"/>
    <w:uiPriority w:val="99"/>
    <w:unhideWhenUsed/>
    <w:rsid w:val="007653fc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653fc"/>
    <w:pPr>
      <w:spacing w:before="0" w:after="0"/>
      <w:ind w:left="720" w:hanging="0"/>
      <w:contextualSpacing/>
    </w:pPr>
    <w:rPr/>
  </w:style>
  <w:style w:type="paragraph" w:styleId="Tekstpodstawowywcity31" w:customStyle="1">
    <w:name w:val="Tekst podstawowy wcięty 31"/>
    <w:basedOn w:val="Normal"/>
    <w:qFormat/>
    <w:rsid w:val="007653fc"/>
    <w:pPr>
      <w:widowControl w:val="false"/>
      <w:suppressAutoHyphens w:val="true"/>
      <w:ind w:left="266" w:hanging="266"/>
      <w:jc w:val="both"/>
    </w:pPr>
    <w:rPr>
      <w:rFonts w:ascii="Times New Roman" w:hAnsi="Times New Roman" w:eastAsia="Times New Roman" w:cs="Times New Roman"/>
      <w:sz w:val="24"/>
      <w:szCs w:val="24"/>
      <w:lang w:val="pl-PL" w:eastAsia="pl-PL" w:bidi="pl-PL"/>
    </w:rPr>
  </w:style>
  <w:style w:type="paragraph" w:styleId="NormalWeb">
    <w:name w:val="Normal (Web)"/>
    <w:basedOn w:val="Normal"/>
    <w:uiPriority w:val="99"/>
    <w:semiHidden/>
    <w:unhideWhenUsed/>
    <w:qFormat/>
    <w:rsid w:val="0065318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arkwodny.com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F6D9-11DB-4E14-8722-001A7F1D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LibreOffice/5.2.3.3$Windows_X86_64 LibreOffice_project/d54a8868f08a7b39642414cf2c8ef2f228f780cf</Application>
  <Pages>3</Pages>
  <Words>686</Words>
  <Characters>5113</Characters>
  <CharactersWithSpaces>5726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2019-01-25T14:26:00Z</dcterms:created>
  <dc:creator>KKSIEG04</dc:creator>
  <dc:description/>
  <dc:language>en-GB</dc:language>
  <cp:lastModifiedBy>KAIG05</cp:lastModifiedBy>
  <cp:lastPrinted>2019-01-23T15:01:00Z</cp:lastPrinted>
  <dcterms:modified xsi:type="dcterms:W3CDTF">2019-01-25T14:26:00Z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